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40" w:rsidRDefault="00CA1F40" w:rsidP="00CA1F40">
      <w:pPr>
        <w:jc w:val="both"/>
        <w:rPr>
          <w:b/>
          <w:u w:val="single"/>
        </w:rPr>
      </w:pPr>
      <w:r>
        <w:rPr>
          <w:b/>
          <w:u w:val="single"/>
        </w:rPr>
        <w:t>Riflessioni su un sistema di autorizzazione (13/12/2012)</w:t>
      </w:r>
    </w:p>
    <w:p w:rsidR="00CA1F40" w:rsidRDefault="00CA1F40" w:rsidP="00CA1F40">
      <w:pPr>
        <w:jc w:val="both"/>
      </w:pPr>
    </w:p>
    <w:p w:rsidR="00CA1F40" w:rsidRDefault="00CA1F40" w:rsidP="00CA1F40">
      <w:pPr>
        <w:spacing w:after="120"/>
        <w:jc w:val="both"/>
      </w:pPr>
      <w:r>
        <w:t>Questo documento presenta un profilo generale dei principali elementi di un nuovo “sistema di autorizzazione dei diritti di impianto” da applicare a livello UE dal 1 gennaio 2016, che sostituirà il regime attuale.</w:t>
      </w:r>
    </w:p>
    <w:p w:rsidR="00CA1F40" w:rsidRDefault="00CA1F40" w:rsidP="00CA1F40">
      <w:pPr>
        <w:spacing w:after="120"/>
        <w:jc w:val="both"/>
        <w:rPr>
          <w:b/>
          <w:i/>
        </w:rPr>
      </w:pPr>
      <w:r>
        <w:rPr>
          <w:b/>
          <w:i/>
        </w:rPr>
        <w:t>1 – Autorizzazioni</w:t>
      </w:r>
    </w:p>
    <w:p w:rsidR="00CA1F40" w:rsidRDefault="00CA1F40" w:rsidP="00CA1F40">
      <w:pPr>
        <w:pStyle w:val="Paragrafoelenco"/>
        <w:numPr>
          <w:ilvl w:val="0"/>
          <w:numId w:val="1"/>
        </w:numPr>
        <w:ind w:left="426"/>
        <w:jc w:val="both"/>
      </w:pPr>
      <w:r>
        <w:t xml:space="preserve">Nessun nuovo impianto ammesso senza autorizzazione (sia per vini con che senza IG); le autorizzazione per i nuovi impianti sono valide per </w:t>
      </w:r>
      <w:r>
        <w:rPr>
          <w:u w:val="single"/>
        </w:rPr>
        <w:t>2 anni</w:t>
      </w:r>
      <w:r>
        <w:t xml:space="preserve"> dopo la concessione;</w:t>
      </w:r>
    </w:p>
    <w:p w:rsidR="00CA1F40" w:rsidRDefault="00CA1F40" w:rsidP="00CA1F40">
      <w:pPr>
        <w:pStyle w:val="Paragrafoelenco"/>
        <w:numPr>
          <w:ilvl w:val="0"/>
          <w:numId w:val="1"/>
        </w:numPr>
        <w:ind w:left="426"/>
        <w:jc w:val="both"/>
      </w:pPr>
      <w:r>
        <w:t>Le aree recentemente estirpate riceveranno autorizzazioni automatiche valide per 3 anni; gli SM possono in via opzionale stabilire che tale autorizzazione sia data solo per lo stesso lotto estirpato e per lo stesso tipo di vino.</w:t>
      </w:r>
    </w:p>
    <w:p w:rsidR="00CA1F40" w:rsidRDefault="00CA1F40" w:rsidP="00CA1F40">
      <w:pPr>
        <w:pStyle w:val="Paragrafoelenco"/>
        <w:numPr>
          <w:ilvl w:val="0"/>
          <w:numId w:val="1"/>
        </w:numPr>
        <w:ind w:left="426"/>
        <w:jc w:val="both"/>
      </w:pPr>
      <w:r>
        <w:rPr>
          <w:u w:val="single"/>
        </w:rPr>
        <w:t>Le autorizzazioni sono concesse dalle autorità pubbliche ai richiedenti gratuitamente e non possono essere trasferite tra produttori</w:t>
      </w:r>
      <w:r>
        <w:t>;</w:t>
      </w:r>
    </w:p>
    <w:p w:rsidR="00CA1F40" w:rsidRDefault="00CA1F40" w:rsidP="00CA1F40">
      <w:pPr>
        <w:pStyle w:val="Paragrafoelenco"/>
        <w:numPr>
          <w:ilvl w:val="0"/>
          <w:numId w:val="1"/>
        </w:numPr>
        <w:ind w:left="426"/>
        <w:jc w:val="both"/>
      </w:pPr>
      <w:r>
        <w:t>La gestione delle autorizzazioni può in via opzionale essere delegata dalle autorità pubbliche alle organizzazioni professionali riconosciute.</w:t>
      </w:r>
    </w:p>
    <w:p w:rsidR="00CA1F40" w:rsidRDefault="00CA1F40" w:rsidP="00CA1F40">
      <w:pPr>
        <w:spacing w:after="120"/>
        <w:jc w:val="both"/>
        <w:rPr>
          <w:b/>
          <w:i/>
        </w:rPr>
      </w:pPr>
      <w:r>
        <w:rPr>
          <w:b/>
          <w:i/>
        </w:rPr>
        <w:t>2 – Quadro normativo UE per la crescita delle superfici a vigneto (meccanismo di salvaguardia)</w:t>
      </w:r>
    </w:p>
    <w:p w:rsidR="00CA1F40" w:rsidRDefault="00CA1F40" w:rsidP="00CA1F40">
      <w:pPr>
        <w:spacing w:after="120"/>
        <w:jc w:val="both"/>
      </w:pPr>
      <w:r>
        <w:t xml:space="preserve">Un meccanismo generale di salvaguardia è stabilito a livello UE per la crescita di ogni superficie a vigneto aggiuntiva. Il meccanismo di salvaguardia è misurato in termini di una </w:t>
      </w:r>
      <w:r>
        <w:rPr>
          <w:u w:val="single"/>
        </w:rPr>
        <w:t>[x]% di crescita delle aree piantate a vite per ogni SM coinvolto</w:t>
      </w:r>
      <w:r>
        <w:t xml:space="preserve">, e tradotta in </w:t>
      </w:r>
      <w:proofErr w:type="spellStart"/>
      <w:r>
        <w:rPr>
          <w:i/>
        </w:rPr>
        <w:t>n°</w:t>
      </w:r>
      <w:proofErr w:type="spellEnd"/>
      <w:r>
        <w:rPr>
          <w:i/>
        </w:rPr>
        <w:t xml:space="preserve"> di ettari</w:t>
      </w:r>
      <w:r>
        <w:t>. Si immaginano due opzioni:</w:t>
      </w:r>
    </w:p>
    <w:p w:rsidR="00CA1F40" w:rsidRDefault="00CA1F40" w:rsidP="00CA1F40">
      <w:pPr>
        <w:pStyle w:val="Paragrafoelenco"/>
        <w:numPr>
          <w:ilvl w:val="0"/>
          <w:numId w:val="2"/>
        </w:numPr>
        <w:jc w:val="both"/>
      </w:pPr>
      <w:r>
        <w:t>La definizione di un livello di [x]% relativamente basso di crescita, che lo SM ha la flessibilità di aumentare.</w:t>
      </w:r>
    </w:p>
    <w:p w:rsidR="00CA1F40" w:rsidRDefault="00CA1F40" w:rsidP="00CA1F40">
      <w:pPr>
        <w:pStyle w:val="Paragrafoelenco"/>
        <w:numPr>
          <w:ilvl w:val="0"/>
          <w:numId w:val="2"/>
        </w:numPr>
        <w:jc w:val="both"/>
      </w:pPr>
      <w:r>
        <w:t xml:space="preserve">La definizione di un livello più alto di [x]% di crescita, che lo SM ha la facoltà di ridurre. </w:t>
      </w:r>
      <w:r>
        <w:rPr>
          <w:color w:val="FF0000"/>
        </w:rPr>
        <w:t>(Opzione caldeggiata dal Copa-Cogeca e dagli S.M. produttori, e che sembra verrà accettata)</w:t>
      </w:r>
    </w:p>
    <w:p w:rsidR="00CA1F40" w:rsidRDefault="00CA1F40" w:rsidP="00CA1F40">
      <w:pPr>
        <w:pStyle w:val="Paragrafoelenco"/>
        <w:jc w:val="both"/>
      </w:pPr>
    </w:p>
    <w:p w:rsidR="00CA1F40" w:rsidRDefault="00CA1F40" w:rsidP="00CA1F40">
      <w:pPr>
        <w:pStyle w:val="Paragrafoelenco"/>
        <w:numPr>
          <w:ilvl w:val="0"/>
          <w:numId w:val="1"/>
        </w:numPr>
        <w:ind w:left="284" w:hanging="284"/>
        <w:jc w:val="both"/>
      </w:pPr>
      <w:r>
        <w:t xml:space="preserve">Se la somma di tutte le domande individuali (in ha) non eccede il limite stabilito a livello nazionale, tutte queste saranno accettate; </w:t>
      </w:r>
      <w:r>
        <w:rPr>
          <w:color w:val="FF0000"/>
        </w:rPr>
        <w:t>(sembra che la Commissione abbia accettato l’eliminazione di tale automatismo, a nostro avviso assolutamente inaccettabile ed equivalente di fatto ad una liberalizzazione: è infatti indispensabile definire dei criteri per la concessione delle autorizzazioni)</w:t>
      </w:r>
    </w:p>
    <w:p w:rsidR="00CA1F40" w:rsidRDefault="00CA1F40" w:rsidP="00CA1F40">
      <w:pPr>
        <w:pStyle w:val="Paragrafoelenco"/>
        <w:numPr>
          <w:ilvl w:val="0"/>
          <w:numId w:val="1"/>
        </w:numPr>
        <w:ind w:left="284" w:hanging="284"/>
        <w:jc w:val="both"/>
      </w:pPr>
      <w:r>
        <w:t xml:space="preserve">La distribuzione delle autorizzazioni nel territorio dello SM, siano esse per aree coperte da DOP/IGP o per vini senza IG, può essere decisa dalle autorità pubbliche sulla base delle </w:t>
      </w:r>
      <w:r>
        <w:rPr>
          <w:u w:val="single"/>
        </w:rPr>
        <w:t>raccomandazioni delle organizzazioni professionali rappresentative e riconosciute</w:t>
      </w:r>
      <w:r>
        <w:t xml:space="preserve"> (OP).</w:t>
      </w:r>
    </w:p>
    <w:p w:rsidR="00CA1F40" w:rsidRDefault="00CA1F40" w:rsidP="00CA1F40">
      <w:pPr>
        <w:pStyle w:val="Paragrafoelenco"/>
        <w:numPr>
          <w:ilvl w:val="0"/>
          <w:numId w:val="1"/>
        </w:numPr>
        <w:ind w:left="284" w:hanging="284"/>
        <w:jc w:val="both"/>
      </w:pPr>
      <w:r>
        <w:t>Le autorità pubbliche possono decidere di accettare tali raccomandazioni o meno, sulla base del fatto che le ritengano o troppo restrittive o che conducano ad un numero eccessivo di autorizzazioni non utilizzate;</w:t>
      </w:r>
    </w:p>
    <w:p w:rsidR="00CA1F40" w:rsidRDefault="00CA1F40" w:rsidP="00CA1F40">
      <w:pPr>
        <w:pStyle w:val="Paragrafoelenco"/>
        <w:numPr>
          <w:ilvl w:val="0"/>
          <w:numId w:val="1"/>
        </w:numPr>
        <w:ind w:left="284" w:hanging="284"/>
        <w:jc w:val="both"/>
      </w:pPr>
      <w:r>
        <w:t xml:space="preserve">Nel caso in cui il numero totale di domande ecceda la [x]% limite per uno SM, o i limiti definiti dalle raccomandazione delle OP (ad es. per una regione vinicola o una DOP o un vino senza IG), per rispettare quei limiti lo SM applicherà un’attribuzione </w:t>
      </w:r>
      <w:r>
        <w:rPr>
          <w:i/>
        </w:rPr>
        <w:t>pro rata</w:t>
      </w:r>
      <w:r>
        <w:t xml:space="preserve"> di una [w]% di autorizzazione disponibili a tutti i richiedenti;</w:t>
      </w:r>
    </w:p>
    <w:p w:rsidR="00CA1F40" w:rsidRDefault="00CA1F40" w:rsidP="00CA1F40">
      <w:pPr>
        <w:pStyle w:val="Paragrafoelenco"/>
        <w:numPr>
          <w:ilvl w:val="0"/>
          <w:numId w:val="1"/>
        </w:numPr>
        <w:ind w:left="284" w:hanging="284"/>
        <w:jc w:val="both"/>
      </w:pPr>
      <w:r>
        <w:t xml:space="preserve">Sul rimanente [100-w]% delle autorizzazioni, lo S.M. potrebbe applicare una serie di </w:t>
      </w:r>
      <w:r>
        <w:rPr>
          <w:u w:val="single"/>
        </w:rPr>
        <w:t>priorità che verranno stabilite a livello UE</w:t>
      </w:r>
      <w:r>
        <w:t xml:space="preserve"> per richieste derivanti da:</w:t>
      </w:r>
    </w:p>
    <w:p w:rsidR="00CA1F40" w:rsidRDefault="00CA1F40" w:rsidP="00CA1F40">
      <w:pPr>
        <w:pStyle w:val="Paragrafoelenco"/>
        <w:numPr>
          <w:ilvl w:val="1"/>
          <w:numId w:val="1"/>
        </w:numPr>
        <w:jc w:val="both"/>
      </w:pPr>
      <w:r>
        <w:t>Nuovi entranti;</w:t>
      </w:r>
    </w:p>
    <w:p w:rsidR="00CA1F40" w:rsidRDefault="00CA1F40" w:rsidP="00CA1F40">
      <w:pPr>
        <w:pStyle w:val="Paragrafoelenco"/>
        <w:numPr>
          <w:ilvl w:val="1"/>
          <w:numId w:val="1"/>
        </w:numPr>
        <w:jc w:val="both"/>
      </w:pPr>
      <w:r>
        <w:t>Aree dove i vigneti contribuiscono alla conservazione dell’ambiente (ad es. i pendii collinari);</w:t>
      </w:r>
    </w:p>
    <w:p w:rsidR="00CA1F40" w:rsidRDefault="00CA1F40" w:rsidP="00CA1F40">
      <w:pPr>
        <w:pStyle w:val="Paragrafoelenco"/>
        <w:numPr>
          <w:ilvl w:val="1"/>
          <w:numId w:val="1"/>
        </w:numPr>
        <w:jc w:val="both"/>
      </w:pPr>
      <w:r>
        <w:t>Consolidamento dei piccoli lotti.</w:t>
      </w:r>
    </w:p>
    <w:p w:rsidR="00CA1F40" w:rsidRDefault="00CA1F40" w:rsidP="00CA1F40">
      <w:pPr>
        <w:pStyle w:val="Paragrafoelenco"/>
        <w:numPr>
          <w:ilvl w:val="0"/>
          <w:numId w:val="1"/>
        </w:numPr>
        <w:ind w:left="284" w:hanging="284"/>
        <w:jc w:val="both"/>
      </w:pPr>
      <w:r>
        <w:t>Il nuovo sistema sarà implementato in [5/6] anni, con un revisione da fare ogni [2] anni;</w:t>
      </w:r>
    </w:p>
    <w:p w:rsidR="00CA1F40" w:rsidRDefault="00CA1F40" w:rsidP="00CA1F40">
      <w:pPr>
        <w:pStyle w:val="Paragrafoelenco"/>
        <w:numPr>
          <w:ilvl w:val="0"/>
          <w:numId w:val="1"/>
        </w:numPr>
        <w:ind w:left="284" w:hanging="284"/>
        <w:jc w:val="both"/>
      </w:pPr>
      <w:r>
        <w:lastRenderedPageBreak/>
        <w:t>Lo SM che non ha applicato il regime dei diritti di impianto dal 31.12.2007 non è soggetto al meccanismo di salvaguardia (</w:t>
      </w:r>
      <w:r>
        <w:rPr>
          <w:i/>
          <w:u w:val="single"/>
        </w:rPr>
        <w:t xml:space="preserve">de </w:t>
      </w:r>
      <w:proofErr w:type="spellStart"/>
      <w:r>
        <w:rPr>
          <w:i/>
          <w:u w:val="single"/>
        </w:rPr>
        <w:t>minimis</w:t>
      </w:r>
      <w:proofErr w:type="spellEnd"/>
      <w:r>
        <w:t xml:space="preserve">); lo SM che attualmente applica il sistema ma con un livello molto basso di produzione potrebbe essere incluso nel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.</w:t>
      </w:r>
    </w:p>
    <w:p w:rsidR="00CA1F40" w:rsidRDefault="00CA1F40" w:rsidP="00CA1F40">
      <w:pPr>
        <w:rPr>
          <w:color w:val="FF0000"/>
        </w:rPr>
      </w:pPr>
      <w:r>
        <w:rPr>
          <w:color w:val="FF0000"/>
        </w:rPr>
        <w:t>Tra gli aspetti che andranno certamente riveduti e chiariti: il meccanismo di salvaguardia [</w:t>
      </w:r>
      <w:proofErr w:type="spellStart"/>
      <w:r>
        <w:rPr>
          <w:color w:val="FF0000"/>
        </w:rPr>
        <w:t>x%</w:t>
      </w:r>
      <w:proofErr w:type="spellEnd"/>
      <w:r>
        <w:rPr>
          <w:color w:val="FF0000"/>
        </w:rPr>
        <w:t>], la durata prevista del sistema, i tempi di entrata in vigore di tale sistema, le disposizioni transitorie.</w:t>
      </w:r>
    </w:p>
    <w:p w:rsidR="00E0375E" w:rsidRDefault="00E0375E"/>
    <w:sectPr w:rsidR="00E0375E" w:rsidSect="00E03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0FB9"/>
    <w:multiLevelType w:val="hybridMultilevel"/>
    <w:tmpl w:val="09A8F6B8"/>
    <w:lvl w:ilvl="0" w:tplc="71CE665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37691"/>
    <w:multiLevelType w:val="hybridMultilevel"/>
    <w:tmpl w:val="FC668D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D11C0"/>
    <w:rsid w:val="00AD11C0"/>
    <w:rsid w:val="00CA1F40"/>
    <w:rsid w:val="00E0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11C0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11C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Sourin</dc:creator>
  <cp:lastModifiedBy>Valentina Sourin</cp:lastModifiedBy>
  <cp:revision>2</cp:revision>
  <dcterms:created xsi:type="dcterms:W3CDTF">2012-12-17T14:12:00Z</dcterms:created>
  <dcterms:modified xsi:type="dcterms:W3CDTF">2012-12-17T14:18:00Z</dcterms:modified>
</cp:coreProperties>
</file>